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C87B14" w14:paraId="0FB24E5F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785D" w14:textId="77777777" w:rsidR="00C87B14" w:rsidRDefault="00AF63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C87B14" w14:paraId="28319F9E" w14:textId="77777777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4A09" w14:textId="77777777" w:rsidR="00C87B14" w:rsidRDefault="00C87B14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059A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C87B14" w14:paraId="4BDBA92D" w14:textId="77777777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2C7E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AB2D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C87B14" w14:paraId="540AB3B9" w14:textId="77777777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F64B" w14:textId="77777777" w:rsidR="00C87B14" w:rsidRDefault="00C87B14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C87B14" w14:paraId="4C66B99F" w14:textId="77777777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67802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на 1 января 2021 г.</w:t>
                  </w:r>
                </w:p>
              </w:tc>
            </w:tr>
          </w:tbl>
          <w:p w14:paraId="1BEBDAE3" w14:textId="77777777" w:rsidR="00C87B14" w:rsidRDefault="00C87B1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8ECF0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8F0D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C87B14" w14:paraId="24C581EB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9D6B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EA36" w14:textId="77777777" w:rsidR="00C87B14" w:rsidRDefault="00AF634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F95F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B71C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33466819</w:t>
            </w:r>
          </w:p>
        </w:tc>
      </w:tr>
      <w:tr w:rsidR="00C87B14" w14:paraId="43406125" w14:textId="77777777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D88E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A4AB" w14:textId="77777777" w:rsidR="00C87B14" w:rsidRDefault="00C87B1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6E8DE" w14:textId="77777777" w:rsidR="00C87B14" w:rsidRDefault="00C87B1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880F" w14:textId="77777777" w:rsidR="00C87B14" w:rsidRDefault="00C87B14">
            <w:pPr>
              <w:spacing w:line="1" w:lineRule="auto"/>
              <w:jc w:val="center"/>
            </w:pPr>
          </w:p>
        </w:tc>
      </w:tr>
      <w:tr w:rsidR="00C87B14" w14:paraId="7BDBD676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9D0A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3EE1" w14:textId="77777777" w:rsidR="00C87B14" w:rsidRDefault="00AF634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2B10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C87B14" w14:paraId="55F3DFA6" w14:textId="77777777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9B8D1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14:paraId="07D7C637" w14:textId="77777777" w:rsidR="00C87B14" w:rsidRDefault="00C87B14">
            <w:pPr>
              <w:spacing w:line="1" w:lineRule="auto"/>
            </w:pPr>
          </w:p>
        </w:tc>
      </w:tr>
      <w:tr w:rsidR="00C87B14" w14:paraId="2D3303F5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F6CB2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9BE02" w14:textId="77777777" w:rsidR="00C87B14" w:rsidRDefault="00C87B14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284C" w14:textId="77777777" w:rsidR="00C87B14" w:rsidRDefault="00C87B1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AFB9" w14:textId="77777777" w:rsidR="00C87B14" w:rsidRDefault="00C87B14">
            <w:pPr>
              <w:spacing w:line="1" w:lineRule="auto"/>
              <w:jc w:val="center"/>
            </w:pPr>
          </w:p>
        </w:tc>
      </w:tr>
      <w:tr w:rsidR="00C87B14" w14:paraId="000E13B0" w14:textId="77777777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86E1" w14:textId="77777777" w:rsidR="00C87B14" w:rsidRDefault="00C87B1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2140B" w14:textId="77777777" w:rsidR="00C87B14" w:rsidRDefault="00C87B1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CD94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699A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00097614</w:t>
            </w:r>
          </w:p>
        </w:tc>
      </w:tr>
      <w:tr w:rsidR="00C87B14" w14:paraId="58A76010" w14:textId="77777777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5F924" w14:textId="77777777" w:rsidR="00C87B14" w:rsidRDefault="00C87B1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3A861" w14:textId="77777777" w:rsidR="00C87B14" w:rsidRDefault="00C87B1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7198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C4B0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</w:tr>
      <w:tr w:rsidR="00C87B14" w14:paraId="65960AA2" w14:textId="77777777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D34A2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8F722" w14:textId="77777777" w:rsidR="00C87B14" w:rsidRDefault="00C87B1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8361" w14:textId="77777777" w:rsidR="00C87B14" w:rsidRDefault="00C87B14">
            <w:pPr>
              <w:spacing w:line="1" w:lineRule="auto"/>
              <w:jc w:val="center"/>
            </w:pPr>
          </w:p>
        </w:tc>
      </w:tr>
      <w:tr w:rsidR="00C87B14" w14:paraId="7538822C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2E65B" w14:textId="77777777" w:rsidR="00C87B14" w:rsidRDefault="00C87B14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C1469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7FACD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71A6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DCBB8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D0039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7542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523D7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CD827" w14:textId="77777777" w:rsidR="00C87B14" w:rsidRDefault="00C87B1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D4355" w14:textId="77777777" w:rsidR="00C87B14" w:rsidRDefault="00C87B14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CF4B0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3D17E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C87B14" w14:paraId="5F83F778" w14:textId="77777777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6C30E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5A750" w14:textId="77777777" w:rsidR="00C87B14" w:rsidRDefault="00AF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5685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C87B14" w14:paraId="3EF7D7B6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9978D" w14:textId="77777777" w:rsidR="00C87B14" w:rsidRDefault="00C87B14">
            <w:pPr>
              <w:rPr>
                <w:color w:val="000000"/>
              </w:rPr>
            </w:pPr>
          </w:p>
        </w:tc>
      </w:tr>
    </w:tbl>
    <w:p w14:paraId="451B32A4" w14:textId="77777777" w:rsidR="00C87B14" w:rsidRDefault="00C87B14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C87B14" w14:paraId="27FFCE60" w14:textId="77777777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8908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87B14" w14:paraId="71AAA1C2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03E1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C87B14" w14:paraId="3396F21E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2B667B3D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C7335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Государственное бюджетное учреждение социального обслуживания Ярославской области Некрасовский дом интернат для престарелых и инвалидов (далее Учреждение) осуществляет свою деятельность в соответствии с предметом и целями деятельности, определенными д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ействующим законодательством Российской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Федерации ,Ярославской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области и Уставом. Функции и полномочия учредителя Учреждения от имени Ярославской области осуществляет департамент труда и социальной поддержки населения Ярославской области. Учреждению доводи</w:t>
                  </w:r>
                  <w:r>
                    <w:rPr>
                      <w:color w:val="000000"/>
                      <w:sz w:val="24"/>
                      <w:szCs w:val="24"/>
                    </w:rPr>
                    <w:t>тся государственное задание, предметом которого является государственная услуга:</w:t>
                  </w:r>
                </w:p>
                <w:p w14:paraId="0AAC891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социальное стационарное обслуживание граждан пожилого возраста и инвалидов.</w:t>
                  </w:r>
                </w:p>
                <w:p w14:paraId="181483EA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Источником формирования финансовых ресурсов Учреждения являются:</w:t>
                  </w:r>
                </w:p>
                <w:p w14:paraId="661556D6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субсидии из облас</w:t>
                  </w:r>
                  <w:r>
                    <w:rPr>
                      <w:color w:val="000000"/>
                      <w:sz w:val="24"/>
                      <w:szCs w:val="24"/>
                    </w:rPr>
                    <w:t>тного бюджета на финансовое обеспечение выполнения государственного задания</w:t>
                  </w:r>
                </w:p>
                <w:p w14:paraId="5BB13DBC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- субсидии из областного бюджета на иные цели в случаях и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порядке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установленном Правительством Ярославской области</w:t>
                  </w:r>
                </w:p>
                <w:p w14:paraId="399A480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бюджетные инвестиции из областного бюджета в случаях и порядке, установленном Правительством Ярославской области</w:t>
                  </w:r>
                </w:p>
                <w:p w14:paraId="6EC9787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средства областного бюджета на исполнение публичных обязательств перед физическим лицом, подлежащих исполнению в денежной форме</w:t>
                  </w:r>
                </w:p>
                <w:p w14:paraId="421EBA0E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   - доходы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Учреждения ,полученные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от выполнения работ, оказания услуг, относящихся к основным видам деятельности (75% подушевого дохода получателей социальных услуг)</w:t>
                  </w:r>
                </w:p>
                <w:p w14:paraId="2FD482AE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средства ,находящиеся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во временном распоряжении учреждения(25% пенсии социальных </w:t>
                  </w:r>
                  <w:r>
                    <w:rPr>
                      <w:color w:val="000000"/>
                      <w:sz w:val="24"/>
                      <w:szCs w:val="24"/>
                    </w:rPr>
                    <w:t>клиентов, лишенных дееспособности)</w:t>
                  </w:r>
                </w:p>
                <w:p w14:paraId="06A60DA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иные источники, не запрещенные действующим законодательством</w:t>
                  </w:r>
                </w:p>
              </w:tc>
            </w:tr>
          </w:tbl>
          <w:p w14:paraId="15929626" w14:textId="77777777" w:rsidR="00C87B14" w:rsidRDefault="00C87B14">
            <w:pPr>
              <w:spacing w:line="1" w:lineRule="auto"/>
            </w:pPr>
          </w:p>
        </w:tc>
      </w:tr>
      <w:tr w:rsidR="00C87B14" w14:paraId="02470EC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3939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87B14" w14:paraId="615C678A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F427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C87B14" w14:paraId="3CA358C1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381A5F00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D152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соответствии с Постановлением Губернатора Ярославской области от 29 июля 1994 года №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385»Об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открытии областного геронтологического центра в п. Некрасовское» на базе ликвидированного кооперативного техникума был открыт областной геронтологический центр . Приказом от 24 мая 2002 года областной геронтологический центр переименован в Государственное </w:t>
                  </w:r>
                  <w:r>
                    <w:rPr>
                      <w:color w:val="000000"/>
                      <w:sz w:val="24"/>
                      <w:szCs w:val="24"/>
                    </w:rPr>
                    <w:t>стационарное учреждение социального обслуживания Ярославкой области Некрасовский дом-интернат для престарелых и инвалидов. Постановлением Правительства Ярославской области от 26 августа 2011 №623-п Государственное стационарное учреждение социального обслуж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ивания Ярославской области Некрасовский дом-интернат для престарелых и инвалидов переименовано в Государственное бюджетное учреждение социального обслуживания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Ярославской области Некрасовский дом-интернат для престарелых и инвалидов (далее Учреждение). Учр</w:t>
                  </w:r>
                  <w:r>
                    <w:rPr>
                      <w:color w:val="000000"/>
                      <w:sz w:val="24"/>
                      <w:szCs w:val="24"/>
                    </w:rPr>
                    <w:t>еждение осуществляет свою деятельность на основании Устава, утвержденного приказом Департамента труда и социальной поддержки населения Ярославской области от 27.05.2015 № 463.     Сведения об основных направлениях деятельности представлены в таблице №1. Ос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новными целями деятельности Учреждения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являются:  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 -предоставление гражданам, признанным нуждающимися в социальном обслуживании в стационарной форме социального обслуживания, социальных услуг при постоянном, временном (на срок, определенный индивидуально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й программой предоставления социальных услуг) или 5-дневном (в неделю) круглосуточном проживании в Учреждении.     В состав Учреждения входят следующие структурные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подразделения:  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 - административно-управленческая и хозяйственная служба     - социально-м</w:t>
                  </w:r>
                  <w:r>
                    <w:rPr>
                      <w:color w:val="000000"/>
                      <w:sz w:val="24"/>
                      <w:szCs w:val="24"/>
                    </w:rPr>
                    <w:t>едицинское отделение     - отделение милосердия     - отделение активного долголетия     - пищеблок     Структурные подразделения отвечают предмету, целям и видам деятельности Учреждения.     В доме-интернате создан Опекунский совет на весь срок деятельнос</w:t>
                  </w:r>
                  <w:r>
                    <w:rPr>
                      <w:color w:val="000000"/>
                      <w:sz w:val="24"/>
                      <w:szCs w:val="24"/>
                    </w:rPr>
                    <w:t>ти учреждения, возглавляемый директором (приказ обновляется ежегодно, в 2020 году № 17о/д от 09.01.2020). Деятельность Опекунского совета регламентируется Положением об Опекунском совете, в соответствии с которым основными направлениями деятельности являют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ся:     - рациональное расходование личных средств социальных клиентов Учреждения, являющихся недееспособными гражданами или находящихся на временном обслуживании Попечительского совета по состоянию здоровья, подтвержденному медицинским заключением;     - </w:t>
                  </w:r>
                  <w:r>
                    <w:rPr>
                      <w:color w:val="000000"/>
                      <w:sz w:val="24"/>
                      <w:szCs w:val="24"/>
                    </w:rPr>
                    <w:t>осуществление контроля за качеством предоставляемых социальных услуг в соответствии с Национальным стандартом РФ ГОСТ Р 52142-2003 «Социальное обслуживание населения»     Приказом от 10.04.2013 №41 о/д в учреждении создан общественный попечительский совет,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 состав которого вошли представители органов местного самоуправления, начальник управления Пенсионного фонда РФ в НМР, настоятель церкви, руководители дома-интерната, социальные клиенты     Общественный попечительский совет является общественным органом,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который создается с целью оказания содействия администрации в реализации уставной деятельности Учреждения, укреплении его материально-технической базы, внесения предложений по решению вопросов социального обслуживания граждан пожилого возраста и инвалидов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граждан оказавшихся в трудной жизненной ситуации.     Порядок формирования и полномочия Совета определяются положением об общественном попечительском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совете 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         </w:t>
                  </w:r>
                </w:p>
                <w:p w14:paraId="7820D127" w14:textId="77777777" w:rsidR="00C87B14" w:rsidRDefault="00C87B14">
                  <w:pPr>
                    <w:jc w:val="both"/>
                  </w:pPr>
                </w:p>
                <w:p w14:paraId="1E04C586" w14:textId="77777777" w:rsidR="00C87B14" w:rsidRDefault="00C87B14">
                  <w:pPr>
                    <w:jc w:val="both"/>
                  </w:pPr>
                </w:p>
              </w:tc>
            </w:tr>
          </w:tbl>
          <w:p w14:paraId="66BB5B1D" w14:textId="77777777" w:rsidR="00C87B14" w:rsidRDefault="00C87B14">
            <w:pPr>
              <w:spacing w:line="1" w:lineRule="auto"/>
            </w:pPr>
          </w:p>
        </w:tc>
      </w:tr>
      <w:tr w:rsidR="00C87B14" w14:paraId="05B7CF24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A932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7B14" w14:paraId="40F0C933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41BC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C87B14" w14:paraId="2F676DE5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136D4F6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385C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Приказом департамента труда и социальной поддержки населения Ярославской области от 09.01.2020 № 2 Учреждению доведено государственное задание на 2020 год и плановый период 2021 - 2022 годов.</w:t>
                  </w:r>
                </w:p>
                <w:p w14:paraId="350F7AAF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Показатели, характеризующие объем и качество государственной услуги:</w:t>
                  </w:r>
                </w:p>
                <w:p w14:paraId="2DE25455" w14:textId="77777777" w:rsidR="00C87B14" w:rsidRDefault="00C87B14">
                  <w:pPr>
                    <w:jc w:val="both"/>
                  </w:pPr>
                </w:p>
                <w:p w14:paraId="5ECA02AA" w14:textId="77777777" w:rsidR="00C87B14" w:rsidRDefault="00C87B14">
                  <w:pPr>
                    <w:jc w:val="both"/>
                  </w:pPr>
                </w:p>
                <w:p w14:paraId="06D52008" w14:textId="77777777" w:rsidR="00C87B14" w:rsidRDefault="00C87B14">
                  <w:pPr>
                    <w:jc w:val="both"/>
                  </w:pPr>
                </w:p>
                <w:p w14:paraId="393A9871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14:paraId="17F6F01C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14:paraId="7766197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</w:t>
                  </w:r>
                </w:p>
                <w:p w14:paraId="22EBEC62" w14:textId="77777777" w:rsidR="00C87B14" w:rsidRDefault="00C87B14">
                  <w:pPr>
                    <w:jc w:val="both"/>
                  </w:pPr>
                </w:p>
                <w:p w14:paraId="4FD832B5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Единица измерения    </w:t>
                  </w:r>
                </w:p>
                <w:p w14:paraId="341E320E" w14:textId="77777777" w:rsidR="00C87B14" w:rsidRDefault="00C87B14">
                  <w:pPr>
                    <w:jc w:val="both"/>
                  </w:pPr>
                </w:p>
                <w:p w14:paraId="057316EF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Плановое значение    </w:t>
                  </w:r>
                </w:p>
                <w:p w14:paraId="2B438C1E" w14:textId="77777777" w:rsidR="00C87B14" w:rsidRDefault="00C87B14">
                  <w:pPr>
                    <w:jc w:val="both"/>
                  </w:pPr>
                </w:p>
                <w:p w14:paraId="596324B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Фактическое значение    </w:t>
                  </w:r>
                </w:p>
                <w:p w14:paraId="4B83E402" w14:textId="77777777" w:rsidR="00C87B14" w:rsidRDefault="00C87B14">
                  <w:pPr>
                    <w:jc w:val="both"/>
                  </w:pPr>
                </w:p>
                <w:p w14:paraId="1DCEF9A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Причины отклонения</w:t>
                  </w:r>
                </w:p>
                <w:p w14:paraId="284CDFE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Количество коек, предоставленных потребителям услуги в том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числе :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   койко-мест    270    232    </w:t>
                  </w:r>
                </w:p>
                <w:p w14:paraId="28365F09" w14:textId="77777777" w:rsidR="00C87B14" w:rsidRDefault="00AF6341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гражданин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полностью утративший способность либо возможность осуществлять самообслуживание    койко-мест    125    125    </w:t>
                  </w:r>
                </w:p>
                <w:p w14:paraId="48E8A600" w14:textId="77777777" w:rsidR="00C87B14" w:rsidRDefault="00AF6341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гражданин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частично утративший спосо</w:t>
                  </w:r>
                  <w:r>
                    <w:rPr>
                      <w:color w:val="000000"/>
                      <w:sz w:val="24"/>
                      <w:szCs w:val="24"/>
                    </w:rPr>
                    <w:t>бность либо возможность осуществлять самообслуживание    койко-мест    145    107    </w:t>
                  </w:r>
                </w:p>
                <w:p w14:paraId="20351DA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потребителей, воспользовавшихся услугами    чел    287    298    </w:t>
                  </w:r>
                </w:p>
                <w:p w14:paraId="30BF465E" w14:textId="77777777" w:rsidR="00C87B14" w:rsidRDefault="00AF6341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гражданин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полностью утративший способность либо возможность осуществлять самообслуживание    </w:t>
                  </w:r>
                  <w:r>
                    <w:rPr>
                      <w:color w:val="000000"/>
                      <w:sz w:val="24"/>
                      <w:szCs w:val="24"/>
                    </w:rPr>
                    <w:t>койко-мест    133    141    </w:t>
                  </w:r>
                </w:p>
                <w:p w14:paraId="34FB4E8E" w14:textId="77777777" w:rsidR="00C87B14" w:rsidRDefault="00AF6341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гражданин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частично утративший способность либо возможность осуществлять самообслуживание    Койко-мест    154    157    </w:t>
                  </w:r>
                </w:p>
                <w:p w14:paraId="28015F3A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Удовлетворенность потребителей государственной услуги    %    100    100    </w:t>
                  </w:r>
                </w:p>
                <w:p w14:paraId="57AEEC0A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Укомплектованность кадрами   </w:t>
                  </w:r>
                  <w:r>
                    <w:rPr>
                      <w:color w:val="000000"/>
                      <w:sz w:val="24"/>
                      <w:szCs w:val="24"/>
                    </w:rPr>
                    <w:t> %    90-100    99,5    </w:t>
                  </w:r>
                </w:p>
                <w:p w14:paraId="6CA22FC5" w14:textId="77777777" w:rsidR="00C87B14" w:rsidRDefault="00C87B14">
                  <w:pPr>
                    <w:jc w:val="both"/>
                  </w:pPr>
                </w:p>
                <w:p w14:paraId="250F873D" w14:textId="77777777" w:rsidR="00C87B14" w:rsidRDefault="00C87B14">
                  <w:pPr>
                    <w:jc w:val="both"/>
                  </w:pPr>
                </w:p>
                <w:p w14:paraId="5FC3ED93" w14:textId="77777777" w:rsidR="00C87B14" w:rsidRDefault="00C87B14">
                  <w:pPr>
                    <w:jc w:val="both"/>
                  </w:pPr>
                </w:p>
                <w:p w14:paraId="7A7E0600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Показатель койко-дней доведен по плану 98820 исполнено за 12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месяцев  2020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года  93355 что составило 94,5 %</w:t>
                  </w:r>
                </w:p>
                <w:p w14:paraId="4FB939E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Предельная штатная численность 221,5 занято ставок фактически 220,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5 ,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что составляет 99,5% Вакантные ставки составили 1 </w:t>
                  </w:r>
                  <w:r>
                    <w:rPr>
                      <w:color w:val="000000"/>
                      <w:sz w:val="24"/>
                      <w:szCs w:val="24"/>
                    </w:rPr>
                    <w:t>единицу Занятые ставки распределены в следующем порядке:</w:t>
                  </w:r>
                </w:p>
                <w:p w14:paraId="0FEEBE7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расширение зоны обслуживания 23,25 ст.</w:t>
                  </w:r>
                </w:p>
                <w:p w14:paraId="550D9E8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совмещение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профессий  22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,00 ст.,</w:t>
                  </w:r>
                </w:p>
                <w:p w14:paraId="06870C2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совместительство 47,75 ст.</w:t>
                  </w:r>
                </w:p>
                <w:p w14:paraId="05E980EC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по основной должности 127,5 ст.  </w:t>
                  </w:r>
                </w:p>
                <w:p w14:paraId="6A0387E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Стоимость койко-дня по питанию при нормативе 175,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00 руб. составила – 150,27 руб., в том числе: по коду вида деятельности «Субсидия на выполнение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госзадания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»¬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–111,02 руб. по приносящей доход деятельности стоимость питания составила 39,25 руб.</w:t>
                  </w:r>
                </w:p>
                <w:p w14:paraId="2482265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Стоимость 1 койко-дня по медикаментам рекомендована в сумме 10,00 руб. фактическая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стоимость  составила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7,73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 том числе: по коду вида деятельности «Субсидия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гос.задания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»- 0,02 руб. по приносящей доход деятельности – 7,71 руб.</w:t>
                  </w:r>
                </w:p>
                <w:p w14:paraId="300523D5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   Для укрепления материально-технической базы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учреждения  за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12месяцев 2020года:</w:t>
                  </w:r>
                </w:p>
                <w:p w14:paraId="503C688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приобретено основных средств на сумму 1835727,60 руб. в том числе:</w:t>
                  </w:r>
                </w:p>
                <w:p w14:paraId="3882440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 счет средств от приносящей доход деятельности на сумму 1450297,60,60 руб.  приобретена мебель в жилые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комнаты (шкафы,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тумбочки ),стеллажи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металлические, ингаляторы,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рециркуляторы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бактерицидные</w:t>
                  </w:r>
                </w:p>
                <w:p w14:paraId="7878A398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 коду вида деятельности «Субсидия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госзадания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на сумму 347300,00 руб. приобретены кровати и ингаляторы</w:t>
                  </w:r>
                </w:p>
                <w:p w14:paraId="4729035E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коду вида деятельности «Субсидия на иные це</w:t>
                  </w:r>
                  <w:r>
                    <w:rPr>
                      <w:color w:val="000000"/>
                      <w:sz w:val="24"/>
                      <w:szCs w:val="24"/>
                    </w:rPr>
                    <w:t>ли» на сумму 38130,00 руб. приобретено оборудование для актового зала.</w:t>
                  </w:r>
                </w:p>
                <w:p w14:paraId="0B72FE73" w14:textId="77777777" w:rsidR="00C87B14" w:rsidRDefault="00C87B14">
                  <w:pPr>
                    <w:jc w:val="both"/>
                  </w:pPr>
                </w:p>
                <w:p w14:paraId="55983853" w14:textId="77777777" w:rsidR="00C87B14" w:rsidRDefault="00C87B14">
                  <w:pPr>
                    <w:jc w:val="both"/>
                  </w:pPr>
                </w:p>
                <w:p w14:paraId="4BB5AAFB" w14:textId="77777777" w:rsidR="00C87B14" w:rsidRDefault="00C87B14">
                  <w:pPr>
                    <w:jc w:val="both"/>
                  </w:pPr>
                </w:p>
              </w:tc>
            </w:tr>
          </w:tbl>
          <w:p w14:paraId="638CE62E" w14:textId="77777777" w:rsidR="00C87B14" w:rsidRDefault="00C87B14">
            <w:pPr>
              <w:spacing w:line="1" w:lineRule="auto"/>
            </w:pPr>
          </w:p>
        </w:tc>
      </w:tr>
      <w:tr w:rsidR="00C87B14" w14:paraId="600CD1ED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B559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7B14" w14:paraId="792CE803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4C95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C87B14" w14:paraId="58FACF3F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3130F541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DACE8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  Соглашением № 24/20-с от 08.01.2020 (в редакции дополнительного соглашения №7 от 07.12.2020) учреждению доведены субсидии на иные цели в сумме 5148604,10 руб. Исполнение за 12 месяцев составило 5148604,10 руб. по следующим направлениям:</w:t>
                  </w:r>
                </w:p>
                <w:p w14:paraId="4F6F16D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Субсидия на расходы на оплату льгот по коммунальным услугам специалистам учреждений социального обслуживания населения, работающим и проживающим в сельской местности в сумме 517741,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00  руб.</w:t>
                  </w:r>
                  <w:proofErr w:type="gramEnd"/>
                </w:p>
                <w:p w14:paraId="73CB6E9F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Субсидия на реализацию мероприятий на осуществление вып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лат стимулирующего характера за особые условия труда и дополнительную нагрузку работникам стационарных организаций социального обслуживания за счет средств резервного фонда Правительства Российской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Федерации в сумме 4185846,00 руб.</w:t>
                  </w:r>
                </w:p>
                <w:p w14:paraId="5E5FBF06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Субсидия на обе</w:t>
                  </w:r>
                  <w:r>
                    <w:rPr>
                      <w:color w:val="000000"/>
                      <w:sz w:val="24"/>
                      <w:szCs w:val="24"/>
                    </w:rPr>
                    <w:t>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</w:t>
                  </w:r>
                  <w:r>
                    <w:rPr>
                      <w:color w:val="000000"/>
                      <w:sz w:val="24"/>
                      <w:szCs w:val="24"/>
                    </w:rPr>
                    <w:t>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      </w:r>
                  <w:r>
                    <w:rPr>
                      <w:color w:val="000000"/>
                      <w:sz w:val="24"/>
                      <w:szCs w:val="24"/>
                    </w:rPr>
                    <w:t>, за счет средств резервного фонда Правительства Российской Федерации в сумме 305707,17 руб.</w:t>
                  </w:r>
                </w:p>
                <w:p w14:paraId="1A302D5D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Субсидия на реализацию мероприятий в рамках ВЦП «Социальная поддержка населения Ярославской области» в сумме 96679,93 руб.</w:t>
                  </w:r>
                </w:p>
                <w:p w14:paraId="4548F6A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Субсидия на приобретен</w:t>
                  </w:r>
                  <w:r>
                    <w:rPr>
                      <w:color w:val="000000"/>
                      <w:sz w:val="24"/>
                      <w:szCs w:val="24"/>
                    </w:rPr>
                    <w:t>ие оборудования и основных средств (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включая  расходы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 доставке и монтажу оборудования) в рамках мероприятий ВЦП «Социальная поддержка населения Ярославской области» в сумме 38130,00 руб.</w:t>
                  </w:r>
                </w:p>
                <w:p w14:paraId="1B2AD1B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Соглашением № 13/20-с от 08.01.2020 (в редакции дополни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тельного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соглашения  №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4 от 07.12.2020) учреждению доведена субсидия на выполнение государственного задания  в сумме 86527780,00 руб. исполнено 86527780,00 ,00  руб.</w:t>
                  </w:r>
                </w:p>
                <w:p w14:paraId="54BC0EAE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части расходов сумма на 2020 год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(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учетом остатка на начало года) 87116570,35 руб. Исп</w:t>
                  </w:r>
                  <w:r>
                    <w:rPr>
                      <w:color w:val="000000"/>
                      <w:sz w:val="24"/>
                      <w:szCs w:val="24"/>
                    </w:rPr>
                    <w:t>олнение расходной части плана ФХД за 12 месяцев  составило  100,00 %.  Расходы за счет субсидий на выполнение государственного задания направлены по следующим видам КВР:</w:t>
                  </w:r>
                </w:p>
                <w:p w14:paraId="4D8C01B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- 111 заработная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плата  64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,8%</w:t>
                  </w:r>
                </w:p>
                <w:p w14:paraId="0F2A1DBA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- 112 прочие выплаты    1,2%</w:t>
                  </w:r>
                </w:p>
                <w:p w14:paraId="5DC3190C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- 119 начисления на з/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19</w:t>
                  </w:r>
                  <w:r>
                    <w:rPr>
                      <w:color w:val="000000"/>
                      <w:sz w:val="24"/>
                      <w:szCs w:val="24"/>
                    </w:rPr>
                    <w:t>,4 %</w:t>
                  </w:r>
                </w:p>
                <w:p w14:paraId="20A4CF35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- 244 противопожарные мероприятия 0,4%</w:t>
                  </w:r>
                </w:p>
                <w:p w14:paraId="6DADE2A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- 244 увеличение стоимости материальных запасов 13,4 %</w:t>
                  </w:r>
                </w:p>
                <w:p w14:paraId="42DD9FB9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- 244 увеличение стоимости основных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средств  0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,4 %</w:t>
                  </w:r>
                </w:p>
                <w:p w14:paraId="4B4561BC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- 851 земельный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налог ,налог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на имущество 0,3 %</w:t>
                  </w:r>
                </w:p>
                <w:p w14:paraId="3FC347D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приносящей доход деятельности, в части доходов доведена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сумма на 2020 год 36866394,49 руб., исполнена в сумме 36788287,62 – 99,8%. В части расходов сумма на 2020 год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(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учетом остатка на начало года) 36745516,00 руб. исполнение составило в сумме 35463017,29 руб.–  95,0%</w:t>
                  </w:r>
                </w:p>
                <w:p w14:paraId="41A87F3D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Основные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расходы  за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счет средств от пр</w:t>
                  </w:r>
                  <w:r>
                    <w:rPr>
                      <w:color w:val="000000"/>
                      <w:sz w:val="24"/>
                      <w:szCs w:val="24"/>
                    </w:rPr>
                    <w:t>иносящей доход деятельности направлены по следующим видам КВР :</w:t>
                  </w:r>
                </w:p>
                <w:p w14:paraId="78262977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111 заработная плата 11,6%</w:t>
                  </w:r>
                </w:p>
                <w:p w14:paraId="6B11A00E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119 начисления на з/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3,5%      </w:t>
                  </w:r>
                </w:p>
                <w:p w14:paraId="1E363399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услуги связи 0,4 %</w:t>
                  </w:r>
                </w:p>
                <w:p w14:paraId="20662776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коммунальные услуги 28,7 %</w:t>
                  </w:r>
                </w:p>
                <w:p w14:paraId="0A049A29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услуги по содержанию имущества 10,3 %</w:t>
                  </w:r>
                </w:p>
                <w:p w14:paraId="6D9AC486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прочие услуги 7,9 %</w:t>
                  </w:r>
                </w:p>
                <w:p w14:paraId="65723A45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увеличение стоимости основных средств 4,1 %</w:t>
                  </w:r>
                </w:p>
                <w:p w14:paraId="6A3250FD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244 увеличение стоимости м</w:t>
                  </w:r>
                  <w:r>
                    <w:rPr>
                      <w:color w:val="000000"/>
                      <w:sz w:val="24"/>
                      <w:szCs w:val="24"/>
                    </w:rPr>
                    <w:t>атериальных запасов 33,0%</w:t>
                  </w:r>
                </w:p>
                <w:p w14:paraId="2759F7A4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– 851 852 налоги, пошлины, сборы 0,3%</w:t>
                  </w:r>
                </w:p>
                <w:p w14:paraId="417E207A" w14:textId="77777777" w:rsidR="00C87B14" w:rsidRDefault="00C87B14">
                  <w:pPr>
                    <w:jc w:val="both"/>
                  </w:pPr>
                </w:p>
                <w:p w14:paraId="1EB0B041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Обязательства и денежные обязательства сверх утвержденного объема плановых назначений на 12 месяцев 2020 года по всем видам деятельности не принимались.</w:t>
                  </w:r>
                </w:p>
                <w:p w14:paraId="7B666F79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Учреждением приняты обя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зательства, исполнение которых предусмотрено в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2021  году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следующим за отчетным за счет субсидий на выполнение государственного задания</w:t>
                  </w:r>
                </w:p>
                <w:p w14:paraId="23CF683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сумму 11143056,16 руб.  в том числе контракты на поставку продуктов питания, заключенные на период с 01.10.2020 по 3</w:t>
                  </w:r>
                  <w:r>
                    <w:rPr>
                      <w:color w:val="000000"/>
                      <w:sz w:val="24"/>
                      <w:szCs w:val="24"/>
                    </w:rPr>
                    <w:t>0.04.2021 в сумме 5018599,53  руб., заработная плата за вторую половину декабря 2020 года и начисления на выплаты по заработной плате в сумме 3091149,02 руб., компенсация на питание  сотрудникам ,работающим в закрытом режиме  на сумму 171771,60 руб., резер</w:t>
                  </w:r>
                  <w:r>
                    <w:rPr>
                      <w:color w:val="000000"/>
                      <w:sz w:val="24"/>
                      <w:szCs w:val="24"/>
                    </w:rPr>
                    <w:t>в  на оплату отпусков с начислениями в сумме 2403923,00 руб., договора на обслуживание пожарной сигнализации на сумму 210188,96 руб.</w:t>
                  </w:r>
                </w:p>
                <w:p w14:paraId="66DD2E16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Денежные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обязательства ,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исполнение которых предусмотрено в 2021 году , приняты на сумму 3510344,67 руб., в том числе  зара</w:t>
                  </w:r>
                  <w:r>
                    <w:rPr>
                      <w:color w:val="000000"/>
                      <w:sz w:val="24"/>
                      <w:szCs w:val="24"/>
                    </w:rPr>
                    <w:t>ботная плата за вторую половину декабря 2020 года , начисления на выплаты по заработной плате в сумме 3091149,02 руб., компенсация на питание  сотрудникам ,работающим в закрытом режиме  на сумму 171771,60 руб. , продукты питания 247424,05  руб.</w:t>
                  </w:r>
                </w:p>
                <w:p w14:paraId="4E3DFFB9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Обязательст</w:t>
                  </w:r>
                  <w:r>
                    <w:rPr>
                      <w:color w:val="000000"/>
                      <w:sz w:val="24"/>
                      <w:szCs w:val="24"/>
                    </w:rPr>
                    <w:t>ва, исполнение которых предусмотрено в 2021  году, следующим за отчетным за счет средств от приносящей доход деятельности  приняты  на сумму 14599261,23 руб. в том числе   заработная плата с начислениями за вторую половину декабря 2020 года в сумме 138053,</w:t>
                  </w:r>
                  <w:r>
                    <w:rPr>
                      <w:color w:val="000000"/>
                      <w:sz w:val="24"/>
                      <w:szCs w:val="24"/>
                    </w:rPr>
                    <w:t>00 руб.,   договора на коммунальные услуги, услуги связи, работы, услуги по содержанию имущества, прочие услуги ,заключенные с единственным поставщиком в декабре 2020 года на 2021 год в сумме 14029840,33,00 руб., резерв  на оплату отпусков с начислениями 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сумме 215684,00 руб.,</w:t>
                  </w:r>
                </w:p>
                <w:p w14:paraId="3B882E1B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Денежные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обязательства ,исполнение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предусмотрено в 2021 году , приняты на сумму 524223,23 руб., в том числе заработная плата с начислениями на выплаты по заработной плате в сумме 138053,00 руб., продукты питания, коммунальные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услуги 386170,23 руб.</w:t>
                  </w:r>
                </w:p>
                <w:p w14:paraId="725D89BD" w14:textId="77777777" w:rsidR="00C87B14" w:rsidRDefault="00C87B14">
                  <w:pPr>
                    <w:jc w:val="both"/>
                  </w:pPr>
                </w:p>
                <w:p w14:paraId="0979FFE4" w14:textId="77777777" w:rsidR="00C87B14" w:rsidRDefault="00C87B14">
                  <w:pPr>
                    <w:jc w:val="both"/>
                  </w:pPr>
                </w:p>
                <w:p w14:paraId="285A746B" w14:textId="77777777" w:rsidR="00C87B14" w:rsidRDefault="00C87B14">
                  <w:pPr>
                    <w:jc w:val="both"/>
                  </w:pPr>
                </w:p>
              </w:tc>
            </w:tr>
          </w:tbl>
          <w:p w14:paraId="3E3D83EC" w14:textId="77777777" w:rsidR="00C87B14" w:rsidRDefault="00C87B14">
            <w:pPr>
              <w:spacing w:line="1" w:lineRule="auto"/>
            </w:pPr>
          </w:p>
        </w:tc>
      </w:tr>
      <w:tr w:rsidR="00C87B14" w14:paraId="3C69FE4F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8DE9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7B14" w14:paraId="4DBBAC08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EE4C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C87B14" w14:paraId="7A753187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532B8141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38141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14:paraId="6E4265FD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Справке по заключению учреждением счетов бухгалтерского учета отчетного финансового года (форма 0503710) отражены показатели по соответствующим счетам аналитического учета:</w:t>
                  </w:r>
                </w:p>
                <w:p w14:paraId="044F90C7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2 40110189 «Иные доходы» сумма 158889,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58  руб.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 включающая возмещение расходов 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погребение 26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человек  ,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 том числе 2 чел х 5946,47руб на сумму 11892,94 руб.,24 чел х 6124,86 руб. на сумму 146996,64 руб.</w:t>
                  </w:r>
                </w:p>
                <w:p w14:paraId="7B71CB20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 4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40110172  «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Доходы от операций с активами» сумма 38130,00 руб.  расчеты с учредителем по приобретению и выбытию основ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ных средств за счет средств субсидий на выполнение государственного задания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  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счет 210.06)</w:t>
                  </w:r>
                </w:p>
                <w:p w14:paraId="578A8A9A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В отчете о финансовых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результатах  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форме 0503721 отражены следующие показатели:</w:t>
                  </w:r>
                </w:p>
                <w:p w14:paraId="78F4191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По стр.050 «Доходы от штрафов, пени, иных сумм принудител</w:t>
                  </w:r>
                  <w:r>
                    <w:rPr>
                      <w:color w:val="000000"/>
                      <w:sz w:val="24"/>
                      <w:szCs w:val="24"/>
                    </w:rPr>
                    <w:t>ьного изъятия» гр.6 отражена сумма 5989,18 руб. перечисленная поставщиками, в связи с нарушением условий поставки.</w:t>
                  </w:r>
                </w:p>
                <w:p w14:paraId="4772D3A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По стр.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090  «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Доходы от операций с активами»  гр.6 отражена сумма 668,24 руб., ветошь, полученная от списания мягкого инвентаря </w:t>
                  </w:r>
                </w:p>
                <w:p w14:paraId="1B2EA14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По стр.110 «Безвозмездные неденежные поступления в сектор государственного учета» гр.6 отражена сумма 99838,35 руб. – безвозмездные поступления материальных запасов и оборудования во время работы учреждения в закрытом режиме </w:t>
                  </w:r>
                </w:p>
                <w:p w14:paraId="66EE2B6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По строк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 321 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191 гр.5 и гр.6 расхождение с формой 0503768 на обороты по счету 0106000</w:t>
                  </w:r>
                </w:p>
                <w:p w14:paraId="5A043655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В отчете формы  0503738 «Отчет об обязательствах учреждения» по коду вида деятельности «Субсидии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гос.задания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по строке 860 графа 6 отражен резерв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 оплату отпусков с начислениями в сумме 2403923,00 руб.,  в том числе КВР 111 заработная плата  в сумме 1846331,00 руб. , КВР 119  в сумме  557592,00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  <w:p w14:paraId="6EA536E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по виду деятельности «Собственные доходы учреждения» так же отражен резерв на оплату отпу</w:t>
                  </w:r>
                  <w:r>
                    <w:rPr>
                      <w:color w:val="000000"/>
                      <w:sz w:val="24"/>
                      <w:szCs w:val="24"/>
                    </w:rPr>
                    <w:t>сков с начислениями в сумме 215684,00 руб.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,  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том числе КВР 111 заработная плата  в сумме 165656,00 руб. ,КВР 119  в сумме  50028,00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  <w:p w14:paraId="5337A4C4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Сведения о движении нефинансовых активов учреждения представлены в форме 0503768.</w:t>
                  </w:r>
                </w:p>
                <w:p w14:paraId="18B8C840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коду вида деятельности «Субсидии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 иные цели»</w:t>
                  </w:r>
                </w:p>
                <w:p w14:paraId="03E6F8F3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4EE93082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62F6C7D6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 стр. 070 гр.5 «поступление» и гр.8 «выбытие» отражено поступление особо ценного иного движимого имущества в сумме 38130,00 руб. и перенос его посредством счета 304.06 на вид деятельности «Субсидии на выполнение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гос.задания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»  </w:t>
                  </w:r>
                </w:p>
                <w:p w14:paraId="305D4A10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по виду деятельности «Соб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ственные доходы учреждения»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010 гр.5 «поступление» отражена сумма 44840,00 руб. безвозмездное поступление оборудования,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090 гр.5 отражена сумма 55666,59 руб. безвозмездное поступление материальных запасов</w:t>
                  </w:r>
                </w:p>
                <w:p w14:paraId="05EF222E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Сведения о принятых и неисп</w:t>
                  </w:r>
                  <w:r>
                    <w:rPr>
                      <w:color w:val="000000"/>
                      <w:sz w:val="24"/>
                      <w:szCs w:val="24"/>
                    </w:rPr>
                    <w:t>олненных обязательствах представлены в форме 0503775</w:t>
                  </w:r>
                </w:p>
                <w:p w14:paraId="41FEF46F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Сведения по дебиторской и кредиторской задолженности учреждения представлены в форме 0503769:</w:t>
                  </w:r>
                </w:p>
                <w:p w14:paraId="6CF4293A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по коду вида деятельности «Субсидии на выполнение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гос.задания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» по состоянию на 01.10.2021</w:t>
                  </w:r>
                </w:p>
                <w:p w14:paraId="6DDE8D47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</w:t>
                  </w:r>
                  <w:r>
                    <w:rPr>
                      <w:color w:val="000000"/>
                      <w:sz w:val="24"/>
                      <w:szCs w:val="24"/>
                    </w:rPr>
                    <w:t>     дебиторская задолженность</w:t>
                  </w:r>
                </w:p>
                <w:p w14:paraId="0DDEDCB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кредиторская задолженность в сумме 3510344,67 руб.   в том числе по счету 430211000,430301000 КВР 111 заработная плата за вторую половину декабря 1247418,69 руб., надбавка за каждый день работы в смене временного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закрытого круглосуточного режима 363000,00 руб., по счету 430214000 КВР112 прочие несоциальные выплаты (компенсация стоимости питания за каждый день работы в смене временного закрытого круглосуточного режима)171771,60 руб., по счету 430213000 КВР 119 начи</w:t>
                  </w:r>
                  <w:r>
                    <w:rPr>
                      <w:color w:val="000000"/>
                      <w:sz w:val="24"/>
                      <w:szCs w:val="24"/>
                    </w:rPr>
                    <w:t>сления на выплаты по заработной плате и надбавке за декабрь 1480730,33 руб., по счету 430234000 КВР 244 продукты питания за  период 28-31 декабря 247424,05 руб.</w:t>
                  </w:r>
                </w:p>
                <w:p w14:paraId="39C574E7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    По приносящей доход деятельности по состоянию на 01.10.2021</w:t>
                  </w:r>
                </w:p>
                <w:p w14:paraId="67228C65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дебиторская задолже</w:t>
                  </w:r>
                  <w:r>
                    <w:rPr>
                      <w:color w:val="000000"/>
                      <w:sz w:val="24"/>
                      <w:szCs w:val="24"/>
                    </w:rPr>
                    <w:t>нность по коду счета 2206000 сумма 51914,38 руб. в том числе по счету 220621000 КВР 244 в сумме 948,91 руб. (оплата за пользование интернетом) , по счету 220626000 КВР 244 в сумме  16153,51 руб. оплата за подписку на 1 полугодие 2021 год   , по счету 22063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4000 КВР 244 в сумме  34811,96 руб. оплата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гсм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договору на январь 2021 года,</w:t>
                  </w:r>
                </w:p>
                <w:p w14:paraId="3370EDA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кредиторская задолженность по коду счета 230200000 составила 524223,23 руб. – текущая кредиторская задолженность за декабрь месяц в том числе:  по счету 230211000 КВР 111зараб</w:t>
                  </w:r>
                  <w:r>
                    <w:rPr>
                      <w:color w:val="000000"/>
                      <w:sz w:val="24"/>
                      <w:szCs w:val="24"/>
                    </w:rPr>
                    <w:t>отная плата за вторую половину декабря 10000,00 руб., по счету 230213000 КВР 119  начисления на выплаты по заработной плате за декабрь 128053,00 руб., по счету 230221000 КВР 244 в сумме 4995,69 руб. услуги связи за декабрь,   по счету 230223000 КВР 244 в с</w:t>
                  </w:r>
                  <w:r>
                    <w:rPr>
                      <w:color w:val="000000"/>
                      <w:sz w:val="24"/>
                      <w:szCs w:val="24"/>
                    </w:rPr>
                    <w:t>умме 316614,50 руб. ( коммунальные услуги за декабрь ), по  счету 230225000 КВР 244 в сумме 27300,00 руб.  вывоз отходов, по счету 230226000 КВР 244 в сумме 14961,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50  руб.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определение РНК коронавируса у сотрудников, работающих в сменах временного закрытого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круглосуточного режима , по  счету 230234000 КВР244  в сумме 22298,54 руб. задолженность за продукты питания.</w:t>
                  </w:r>
                </w:p>
                <w:p w14:paraId="0E5A469D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Сведения об остатках денежных средств учреждения представлены в форме 0503779.</w:t>
                  </w:r>
                </w:p>
                <w:p w14:paraId="38539CD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 коду вида деятельности «Субсидии на выполнение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гос.задания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» ост</w:t>
                  </w:r>
                  <w:r>
                    <w:rPr>
                      <w:color w:val="000000"/>
                      <w:sz w:val="24"/>
                      <w:szCs w:val="24"/>
                    </w:rPr>
                    <w:t>атка денежных средств нет.  </w:t>
                  </w:r>
                </w:p>
                <w:p w14:paraId="7AB40F6F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коду вида деятельности «Субсидии на иные цели» остатка денежных средств нет.  </w:t>
                  </w:r>
                </w:p>
                <w:p w14:paraId="68C10BC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   По приносящей доход деятельности остаток составил 1804391,84 руб. для погашения текущей кредиторской задолженности за декабрь, резервирование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средств для приобретения автотранспорта (срок размещения закупки декабрь 2020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года ,заключение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контракта  январь 2021 г)</w:t>
                  </w:r>
                </w:p>
                <w:p w14:paraId="50EDFE9A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По средствам во временном распоряжении остаток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составил  685474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,17 руб., из них  25 % пенсии недееспособных социальных клиентов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330851,32 руб., средства, переданные по заявлению соц. клиентов на временное хранение в сумме 30000,00руб. и средства, перечисленные поставщиками в счет обеспечения исполнения контрактов по аукционам в сумме 324622,85,00 руб.</w:t>
                  </w:r>
                </w:p>
                <w:p w14:paraId="554D38F4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0E8ECEC5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179F2526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4F60E484" w14:textId="77777777" w:rsidR="00C87B14" w:rsidRDefault="00C87B14">
                  <w:pPr>
                    <w:spacing w:before="160" w:after="160"/>
                    <w:jc w:val="both"/>
                  </w:pPr>
                </w:p>
              </w:tc>
            </w:tr>
          </w:tbl>
          <w:p w14:paraId="470A8AA2" w14:textId="77777777" w:rsidR="00C87B14" w:rsidRDefault="00C87B14">
            <w:pPr>
              <w:spacing w:line="1" w:lineRule="auto"/>
            </w:pPr>
          </w:p>
        </w:tc>
      </w:tr>
      <w:tr w:rsidR="00C87B14" w14:paraId="2034DDF6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0F96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7B14" w14:paraId="0EED9A77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F292" w14:textId="77777777" w:rsidR="00C87B14" w:rsidRDefault="00AF6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C87B14" w14:paraId="0C13A595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57C13880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B8F63" w14:textId="77777777" w:rsidR="00C87B14" w:rsidRDefault="00AF6341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14:paraId="09C89FBC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 бухгалтерский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учет,  Инструкцией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от 01.10.2010 №157н, учреждение формирует свою учетную полити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ку, исходя из особенностей своей структуры, отраслевых и иных особенностей деятельности учреждения и выполняемых им в соответствии с законодательством Российской Федерации полномочий. Учетная политика учреждения утверждена приказом от 09.01.2019 №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49  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в р</w:t>
                  </w:r>
                  <w:r>
                    <w:rPr>
                      <w:color w:val="000000"/>
                      <w:sz w:val="24"/>
                      <w:szCs w:val="24"/>
                    </w:rPr>
                    <w:t>едакции приказа от 09.01.20 №1)</w:t>
                  </w:r>
                </w:p>
                <w:p w14:paraId="70A4AFCF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 В соответствии с Постановлением Правительства Ярославской области от 27 апреля 2020 года №384-п «О временном режиме работы государственных организаций социального обслуживания Ярославской области»   в учреждении </w:t>
                  </w:r>
                  <w:r>
                    <w:rPr>
                      <w:color w:val="000000"/>
                      <w:sz w:val="24"/>
                      <w:szCs w:val="24"/>
                    </w:rPr>
                    <w:t>был установлен временный закрытый круглосуточный режим работы с обеспечением  смены работников, непосредственно оказывающих социальные услуги, с периодичностью не чаще чем один раз в две недели. В течение 2020 года это были периоды с 27.04.2020 по 21.06.20</w:t>
                  </w:r>
                  <w:r>
                    <w:rPr>
                      <w:color w:val="000000"/>
                      <w:sz w:val="24"/>
                      <w:szCs w:val="24"/>
                    </w:rPr>
                    <w:t>20 и с 03.12.2020 по31.12.2020  </w:t>
                  </w:r>
                </w:p>
                <w:p w14:paraId="78F9811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       Сведения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  направлениях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деятельности таблица №1, в составе годовой отчетности не предоставляется ,ввиду отсутствия направлений, которые учреждение прекратило либо стало вести впервые.</w:t>
                  </w:r>
                </w:p>
                <w:p w14:paraId="16DA8150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об 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сновных положениях учетной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политики  представлены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 таблице №4</w:t>
                  </w:r>
                </w:p>
                <w:p w14:paraId="579F9CD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основании приказа №148 о/д от 21.10.2020 "О проведении инвентаризации" в связи с окончанием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финансового  2020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года учреждением проведена инвентаризация нефинансовых активов, финансовых актив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ов и финансовых обязательств имущества и обязательств, учитываемых на забалансовых счетах учреждения. Согласно актам о результатах инвентаризации, установлено: фактическое наличие имущества соответствует данным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бух.учета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излишков и недостач не обнаружено,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расхождений не установлено. </w:t>
                  </w:r>
                </w:p>
                <w:p w14:paraId="21501E6D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проведении инвентаризации таблица №6 в составе годовой отчетности не предоставляется, ввиду отсутствия расхождений по результатам проведенной инвентаризации</w:t>
                  </w:r>
                </w:p>
                <w:p w14:paraId="19ABF1EC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учреждение отмечено следующими дос</w:t>
                  </w:r>
                  <w:r>
                    <w:rPr>
                      <w:color w:val="000000"/>
                      <w:sz w:val="24"/>
                      <w:szCs w:val="24"/>
                    </w:rPr>
                    <w:t>тижениями и наградами:</w:t>
                  </w:r>
                </w:p>
                <w:p w14:paraId="746CB8A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13 сотрудников прошли дистанционное обучение на курсах повышения квалификации по темам «Сестринское дело», «Лечебная физкультура», «Медицинский массаж», «Терапия», «Федеральные стандарты бухгалтерского учета», «Управление государстве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нными и муниципальными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закупками»;</w:t>
                  </w:r>
                </w:p>
                <w:p w14:paraId="09F501A4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2 медицинские сестры получили первую и высшую квалификационные категории по специальности «Сестринское дело»;</w:t>
                  </w:r>
                </w:p>
                <w:p w14:paraId="174CA6C1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1 место в Международном конкурсе тематических уголков и стендов «12 июня - День России» с фотографией, которая была сделана во время закрытого режима работы.</w:t>
                  </w:r>
                </w:p>
                <w:p w14:paraId="72A5FA1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 1 место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  областном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конкурсе профессионального мастерства специалистов учреждений социально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го обслуживания в номинации «Лучшая медицинская сестра учреждения социального обслуживания» - медицинская сестра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Раджабова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Наталья Леонидовна.</w:t>
                  </w:r>
                </w:p>
                <w:p w14:paraId="647895EE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- 1 место в Фестивале Всероссийских и Международных Дистанционных Конкурсов «Таланты России» в общей номинации «О</w:t>
                  </w:r>
                  <w:r>
                    <w:rPr>
                      <w:color w:val="000000"/>
                      <w:sz w:val="24"/>
                      <w:szCs w:val="24"/>
                    </w:rPr>
                    <w:t>формление помещений, территории, участка» с конкурсной работой «Весело в небе птицы кружат, Баба Яга едет жить в интернат».</w:t>
                  </w:r>
                </w:p>
                <w:p w14:paraId="011CA741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Учреждение является участником Федерального Реестра «Всероссийская Книга Почета» 2020 года.</w:t>
                  </w:r>
                </w:p>
                <w:p w14:paraId="4349094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Главный бухгалтер Морозова Мариана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Витальевна и инструктор по трудовой терапии Чернобровкина Елена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Вилесовна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были награждены грамотами Губернатора Ярославской области за многолетний добросовестный труд, высокий профессионализм и вклад в развитие системы социальной защиты населения Ярославс</w:t>
                  </w:r>
                  <w:r>
                    <w:rPr>
                      <w:color w:val="000000"/>
                      <w:sz w:val="24"/>
                      <w:szCs w:val="24"/>
                    </w:rPr>
                    <w:t>кой области.</w:t>
                  </w:r>
                </w:p>
                <w:p w14:paraId="63F5F07D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Для получателей социальных услуг проводились различные мероприятия с участием:</w:t>
                  </w:r>
                </w:p>
                <w:p w14:paraId="6D17CED6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Волонтерского отряда «Импульс»: 2 спортивных мероприятия; 8 мастер-классов, в том числе 4 онлайн; 2 онлайн-концерта.</w:t>
                  </w:r>
                </w:p>
                <w:p w14:paraId="4566E95E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Волонтерского отряда «Бумеранг»: 1 игровая </w:t>
                  </w:r>
                  <w:r>
                    <w:rPr>
                      <w:color w:val="000000"/>
                      <w:sz w:val="24"/>
                      <w:szCs w:val="24"/>
                    </w:rPr>
                    <w:t>программа; 1 онлайн-марафон памяти и славы героям войны; 1 онлайн-акция «Будь здоров!»; 4 онлайн-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квиза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; 1 онлайн-концерт; 1 онлайн-мастер-класс; 1 онлайн-сказка.</w:t>
                  </w:r>
                </w:p>
                <w:p w14:paraId="18139E4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Волонтерского отряда «Созвездие»: 2 мастер-класса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сандарт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-терапия); 1 виртуальный концерт; </w:t>
                  </w:r>
                  <w:r>
                    <w:rPr>
                      <w:color w:val="000000"/>
                      <w:sz w:val="24"/>
                      <w:szCs w:val="24"/>
                    </w:rPr>
                    <w:t>2 онлайн-мастер-класса; 1 онлайн-конкурс «Угадай мелодию».</w:t>
                  </w:r>
                </w:p>
                <w:p w14:paraId="43ABEF8C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Некрасовской детской художественной школы - 4 выставки.</w:t>
                  </w:r>
                </w:p>
                <w:p w14:paraId="36119AF6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Конного клуба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Эквитерра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9 занятий по иппотерапии.</w:t>
                  </w:r>
                </w:p>
                <w:p w14:paraId="5C72A5AF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 Ярославской филармонии - 4 виртуальных концерта.</w:t>
                  </w:r>
                </w:p>
                <w:p w14:paraId="354B0E01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 2020 года в учреждени</w:t>
                  </w:r>
                  <w:r>
                    <w:rPr>
                      <w:color w:val="000000"/>
                      <w:sz w:val="24"/>
                      <w:szCs w:val="24"/>
                    </w:rPr>
                    <w:t>и проводились внеплановые проверки следующими органами:  </w:t>
                  </w:r>
                </w:p>
                <w:p w14:paraId="1B6517A1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ОНД и ПР по ЯМР и НМР цель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–  соблюдение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обязательных требований пожарной безопасности</w:t>
                  </w:r>
                </w:p>
                <w:p w14:paraId="1048381C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Прокуратура Некрасовского района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–  проверка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исполнения законодательства при оказании социальных услуг в стацио</w:t>
                  </w:r>
                  <w:r>
                    <w:rPr>
                      <w:color w:val="000000"/>
                      <w:sz w:val="24"/>
                      <w:szCs w:val="24"/>
                    </w:rPr>
                    <w:t>нарной форме социального обслуживания</w:t>
                  </w:r>
                </w:p>
                <w:p w14:paraId="3D9D3BA0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54053E78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683A572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Перечень форм отчетности, не включенных в состав бухгалтерской отчетности учреждения, в виду отсутствия числовых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значений  показателей</w:t>
                  </w:r>
                  <w:proofErr w:type="gramEnd"/>
                </w:p>
                <w:p w14:paraId="212EAA5F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164AB643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4B3EE136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4652A949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6C353919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Сведения об исполнении судебных решений по денежным обязательствам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учреждения   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  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форма 0503295)</w:t>
                  </w:r>
                </w:p>
                <w:p w14:paraId="50DC5D48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Справка по консолидируемым расчетам учреждений (форма 0503725)</w:t>
                  </w:r>
                </w:p>
                <w:p w14:paraId="30F36DE5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количестве обособленных подразделений (форма 0503761)</w:t>
                  </w:r>
                </w:p>
                <w:p w14:paraId="05CBC2C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Сведения о целевых иностранных кредитах (форма 0503767)</w:t>
                  </w:r>
                </w:p>
                <w:p w14:paraId="74FB5AC6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фин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ансовых вложениях учреждения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( форма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0503771)</w:t>
                  </w:r>
                </w:p>
                <w:p w14:paraId="69D65703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Сведения о суммах заимствования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( форма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0503772)</w:t>
                  </w:r>
                </w:p>
                <w:p w14:paraId="5ED4FC4F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об изменении остатков валюты баланса (форма 0503773)</w:t>
                  </w:r>
                </w:p>
                <w:p w14:paraId="2BE043F5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вложении в объекты недвижимого имущества, объекты незавершенного строительства бюджетных (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автономных )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учреждений (форма 0503790)</w:t>
                  </w:r>
                </w:p>
                <w:p w14:paraId="559BDF00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направлениях деятельности (таблица №1)</w:t>
                  </w:r>
                </w:p>
                <w:p w14:paraId="57C6EA66" w14:textId="77777777" w:rsidR="00C87B14" w:rsidRDefault="00AF6341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  Сведения о проведении инвента</w:t>
                  </w:r>
                  <w:r>
                    <w:rPr>
                      <w:color w:val="000000"/>
                      <w:sz w:val="24"/>
                      <w:szCs w:val="24"/>
                    </w:rPr>
                    <w:t>ризаций (таблица №6)</w:t>
                  </w:r>
                </w:p>
                <w:p w14:paraId="051B3E60" w14:textId="77777777" w:rsidR="00C87B14" w:rsidRDefault="00C87B14">
                  <w:pPr>
                    <w:spacing w:before="160" w:after="160"/>
                    <w:jc w:val="both"/>
                  </w:pPr>
                </w:p>
                <w:p w14:paraId="01348AE6" w14:textId="77777777" w:rsidR="00C87B14" w:rsidRDefault="00C87B14">
                  <w:pPr>
                    <w:spacing w:before="160" w:after="160"/>
                    <w:jc w:val="both"/>
                  </w:pPr>
                </w:p>
              </w:tc>
            </w:tr>
          </w:tbl>
          <w:p w14:paraId="2AA16104" w14:textId="77777777" w:rsidR="00C87B14" w:rsidRDefault="00C87B14">
            <w:pPr>
              <w:spacing w:line="1" w:lineRule="auto"/>
            </w:pPr>
          </w:p>
        </w:tc>
      </w:tr>
      <w:tr w:rsidR="00C87B14" w14:paraId="40113065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F169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6E7A7811" w14:textId="77777777" w:rsidR="00C87B14" w:rsidRDefault="00C87B14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C87B14" w14:paraId="368F9F3B" w14:textId="77777777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C87B14" w14:paraId="6DE7DED1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D1B29" w14:textId="77777777" w:rsidR="00C87B14" w:rsidRDefault="00AF6341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14:paraId="735BD98E" w14:textId="77777777" w:rsidR="00C87B14" w:rsidRDefault="00C87B1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1080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D857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5347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C87B14" w14:paraId="62196D4C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AA42E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О.В. Угланова</w:t>
                  </w:r>
                </w:p>
              </w:tc>
            </w:tr>
          </w:tbl>
          <w:p w14:paraId="0482EEBB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218D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D8BE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C58A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3B24" w14:textId="77777777" w:rsidR="00C87B14" w:rsidRDefault="00C87B14">
            <w:pPr>
              <w:spacing w:line="1" w:lineRule="auto"/>
            </w:pPr>
          </w:p>
        </w:tc>
      </w:tr>
      <w:tr w:rsidR="00C87B14" w14:paraId="2545CEEE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7B64" w14:textId="77777777" w:rsidR="00C87B14" w:rsidRDefault="00C87B1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86D1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D172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F43B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51FA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B5CB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FBA5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D0C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129C" w14:textId="77777777" w:rsidR="00C87B14" w:rsidRDefault="00C87B14">
            <w:pPr>
              <w:spacing w:line="1" w:lineRule="auto"/>
            </w:pPr>
          </w:p>
        </w:tc>
      </w:tr>
      <w:tr w:rsidR="00C87B14" w14:paraId="04335881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C87B14" w14:paraId="28AECD46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03570" w14:textId="77777777" w:rsidR="00C87B14" w:rsidRDefault="00AF634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87B14" w14:paraId="48721E98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C87B14" w14:paraId="58FE4C05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5CA20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44CCD04B9AF211E2A806554511D5E0609224059F</w:t>
                        </w:r>
                      </w:p>
                      <w:p w14:paraId="5A281A58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Угланова Ольга Валентиновна</w:t>
                        </w:r>
                      </w:p>
                      <w:p w14:paraId="4F879150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30.06.2020 по 30.09.2021</w:t>
                        </w:r>
                      </w:p>
                      <w:p w14:paraId="1EDE80C2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EB748D7" w14:textId="77777777" w:rsidR="00C87B14" w:rsidRDefault="00C87B14">
                  <w:pPr>
                    <w:spacing w:line="1" w:lineRule="auto"/>
                  </w:pPr>
                </w:p>
              </w:tc>
            </w:tr>
          </w:tbl>
          <w:p w14:paraId="5D0C99CA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BBCA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1351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E996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ED31" w14:textId="77777777" w:rsidR="00C87B14" w:rsidRDefault="00C87B14">
            <w:pPr>
              <w:spacing w:line="1" w:lineRule="auto"/>
            </w:pPr>
          </w:p>
        </w:tc>
      </w:tr>
      <w:tr w:rsidR="00C87B14" w14:paraId="2AAD6ED7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0F53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C16A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C651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DDDB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887" w14:textId="77777777" w:rsidR="00C87B14" w:rsidRDefault="00C87B14">
            <w:pPr>
              <w:spacing w:line="1" w:lineRule="auto"/>
            </w:pPr>
          </w:p>
        </w:tc>
      </w:tr>
      <w:tr w:rsidR="00C87B14" w14:paraId="2F818CE3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F6A2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9E7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E72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147D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D309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A8A8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0B3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9005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109F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6075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20ED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F552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20BC" w14:textId="77777777" w:rsidR="00C87B14" w:rsidRDefault="00C87B14">
            <w:pPr>
              <w:spacing w:line="1" w:lineRule="auto"/>
            </w:pPr>
          </w:p>
        </w:tc>
      </w:tr>
      <w:tr w:rsidR="00C87B14" w14:paraId="72BF98B9" w14:textId="77777777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C87B14" w14:paraId="52B37033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6A9F9" w14:textId="77777777" w:rsidR="00C87B14" w:rsidRDefault="00AF6341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14:paraId="48E43DF4" w14:textId="77777777" w:rsidR="00C87B14" w:rsidRDefault="00C87B1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82EB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63F1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BDAF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C87B14" w14:paraId="0DE8B076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7D810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М.В. Морозова</w:t>
                  </w:r>
                </w:p>
              </w:tc>
            </w:tr>
          </w:tbl>
          <w:p w14:paraId="32C65FC2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547D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3665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AB9E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8798" w14:textId="77777777" w:rsidR="00C87B14" w:rsidRDefault="00C87B14">
            <w:pPr>
              <w:spacing w:line="1" w:lineRule="auto"/>
            </w:pPr>
          </w:p>
        </w:tc>
      </w:tr>
      <w:tr w:rsidR="00C87B14" w14:paraId="33E4E6DD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EE7D" w14:textId="77777777" w:rsidR="00C87B14" w:rsidRDefault="00C87B1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FFDB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7B95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C2E5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94C6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31A4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45E2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B8C1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B328" w14:textId="77777777" w:rsidR="00C87B14" w:rsidRDefault="00C87B14">
            <w:pPr>
              <w:spacing w:line="1" w:lineRule="auto"/>
            </w:pPr>
          </w:p>
        </w:tc>
      </w:tr>
      <w:tr w:rsidR="00C87B14" w14:paraId="1F3B6686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C87B14" w14:paraId="23D36E88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98440" w14:textId="77777777" w:rsidR="00C87B14" w:rsidRDefault="00AF634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87B14" w14:paraId="680784EB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C87B14" w14:paraId="7D9E7106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4424D0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358BE68DD4F88A3F0FA861DDF55B213E3336DF6C</w:t>
                        </w:r>
                      </w:p>
                      <w:p w14:paraId="2E44E507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Морозова Мариана Витальевна</w:t>
                        </w:r>
                      </w:p>
                      <w:p w14:paraId="2413107E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29.12.2020 по 29.03.2022</w:t>
                        </w:r>
                      </w:p>
                      <w:p w14:paraId="0A6C73AD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262EC14" w14:textId="77777777" w:rsidR="00C87B14" w:rsidRDefault="00C87B14">
                  <w:pPr>
                    <w:spacing w:line="1" w:lineRule="auto"/>
                  </w:pPr>
                </w:p>
              </w:tc>
            </w:tr>
          </w:tbl>
          <w:p w14:paraId="03831A6B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35B0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9155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2F0A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5F35" w14:textId="77777777" w:rsidR="00C87B14" w:rsidRDefault="00C87B14">
            <w:pPr>
              <w:spacing w:line="1" w:lineRule="auto"/>
            </w:pPr>
          </w:p>
        </w:tc>
      </w:tr>
      <w:tr w:rsidR="00C87B14" w14:paraId="56F8BAE3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D63B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6E13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A42B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FA95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14CD" w14:textId="77777777" w:rsidR="00C87B14" w:rsidRDefault="00C87B14">
            <w:pPr>
              <w:spacing w:line="1" w:lineRule="auto"/>
            </w:pPr>
          </w:p>
        </w:tc>
      </w:tr>
      <w:tr w:rsidR="00C87B14" w14:paraId="02A36A3C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7C12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7DB5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40F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8CF5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7550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3D8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381C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82E1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E38D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9520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E4F7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806B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548C" w14:textId="77777777" w:rsidR="00C87B14" w:rsidRDefault="00C87B14">
            <w:pPr>
              <w:spacing w:line="1" w:lineRule="auto"/>
            </w:pPr>
          </w:p>
        </w:tc>
      </w:tr>
      <w:tr w:rsidR="00C87B14" w14:paraId="075F4924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C87B14" w14:paraId="797B22D5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F3E70" w14:textId="77777777" w:rsidR="00C87B14" w:rsidRDefault="00AF6341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14:paraId="03F4358D" w14:textId="77777777" w:rsidR="00C87B14" w:rsidRDefault="00C87B14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128D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8B21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C87B14" w14:paraId="10B857A8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95E02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М.В. Морозова</w:t>
                  </w:r>
                </w:p>
              </w:tc>
            </w:tr>
          </w:tbl>
          <w:p w14:paraId="0B079536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EF8A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6070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AAB0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0178" w14:textId="77777777" w:rsidR="00C87B14" w:rsidRDefault="00C87B14">
            <w:pPr>
              <w:spacing w:line="1" w:lineRule="auto"/>
            </w:pPr>
          </w:p>
        </w:tc>
      </w:tr>
      <w:tr w:rsidR="00C87B14" w14:paraId="73B7E0EC" w14:textId="77777777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96CF" w14:textId="77777777" w:rsidR="00C87B14" w:rsidRDefault="00C87B14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6DE6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DD36" w14:textId="77777777" w:rsidR="00C87B14" w:rsidRDefault="00C87B1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0D20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5A6B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93E4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3D37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20FA" w14:textId="77777777" w:rsidR="00C87B14" w:rsidRDefault="00C87B14">
            <w:pPr>
              <w:spacing w:line="1" w:lineRule="auto"/>
            </w:pPr>
          </w:p>
        </w:tc>
      </w:tr>
      <w:tr w:rsidR="00C87B14" w14:paraId="0AB1404A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C87B14" w14:paraId="63416986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CB039" w14:textId="77777777" w:rsidR="00C87B14" w:rsidRDefault="00AF634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87B14" w14:paraId="70E983CA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C87B14" w14:paraId="7492EFA7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7A2C65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358BE68DD4F88A3F0FA861DDF55B213E3336DF6C</w:t>
                        </w:r>
                      </w:p>
                      <w:p w14:paraId="6D05FC0D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Морозова Мариана Витальевна</w:t>
                        </w:r>
                      </w:p>
                      <w:p w14:paraId="19A36501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29.12.2020 по 29.03.2022</w:t>
                        </w:r>
                      </w:p>
                      <w:p w14:paraId="2C668898" w14:textId="77777777" w:rsidR="00C87B14" w:rsidRDefault="00AF634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400E1F6" w14:textId="77777777" w:rsidR="00C87B14" w:rsidRDefault="00C87B14">
                  <w:pPr>
                    <w:spacing w:line="1" w:lineRule="auto"/>
                  </w:pPr>
                </w:p>
              </w:tc>
            </w:tr>
          </w:tbl>
          <w:p w14:paraId="4971CC07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F4E5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D28D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5181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7305" w14:textId="77777777" w:rsidR="00C87B14" w:rsidRDefault="00C87B14">
            <w:pPr>
              <w:spacing w:line="1" w:lineRule="auto"/>
            </w:pPr>
          </w:p>
        </w:tc>
      </w:tr>
      <w:tr w:rsidR="00C87B14" w14:paraId="39F1B5ED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1692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C803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074A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6073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8F4" w14:textId="77777777" w:rsidR="00C87B14" w:rsidRDefault="00C87B14">
            <w:pPr>
              <w:spacing w:line="1" w:lineRule="auto"/>
            </w:pPr>
          </w:p>
        </w:tc>
      </w:tr>
      <w:tr w:rsidR="00C87B14" w14:paraId="6AE3B52D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2469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856C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95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351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8A93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ED5E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D8F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167B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409A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3E91" w14:textId="77777777" w:rsidR="00C87B14" w:rsidRDefault="00C87B1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2CB8" w14:textId="77777777" w:rsidR="00C87B14" w:rsidRDefault="00C87B1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8C58" w14:textId="77777777" w:rsidR="00C87B14" w:rsidRDefault="00C87B1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15C4" w14:textId="77777777" w:rsidR="00C87B14" w:rsidRDefault="00C87B14">
            <w:pPr>
              <w:spacing w:line="1" w:lineRule="auto"/>
            </w:pPr>
          </w:p>
        </w:tc>
      </w:tr>
    </w:tbl>
    <w:p w14:paraId="3CAA694C" w14:textId="77777777" w:rsidR="00C87B14" w:rsidRDefault="00C87B14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C87B14" w14:paraId="3F0ED201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F46F" w14:textId="77777777" w:rsidR="00C87B14" w:rsidRDefault="00C87B14" w:rsidP="00D60F3D"/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EF64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881D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A55A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43A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AB2A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5A21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5ECF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F53A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9D98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9CCB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0A04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EF00" w14:textId="77777777" w:rsidR="00C87B14" w:rsidRDefault="00C87B14">
            <w:pPr>
              <w:spacing w:line="1" w:lineRule="auto"/>
              <w:jc w:val="center"/>
            </w:pPr>
          </w:p>
        </w:tc>
      </w:tr>
      <w:tr w:rsidR="00C87B14" w14:paraId="7704B629" w14:textId="77777777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45B5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E0652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6243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8287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34E1" w14:textId="77777777" w:rsidR="00C87B14" w:rsidRDefault="00C87B14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C87B14" w14:paraId="54BACE42" w14:textId="77777777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492A7" w14:textId="77777777" w:rsidR="00C87B14" w:rsidRDefault="00AF6341">
                  <w:pPr>
                    <w:jc w:val="center"/>
                  </w:pPr>
                  <w:r>
                    <w:rPr>
                      <w:color w:val="000000"/>
                    </w:rPr>
                    <w:t>М.В. Морозова</w:t>
                  </w:r>
                </w:p>
              </w:tc>
            </w:tr>
          </w:tbl>
          <w:p w14:paraId="1D879FA8" w14:textId="77777777" w:rsidR="00C87B14" w:rsidRDefault="00C87B14">
            <w:pPr>
              <w:spacing w:line="1" w:lineRule="auto"/>
            </w:pPr>
          </w:p>
        </w:tc>
      </w:tr>
      <w:tr w:rsidR="00C87B14" w14:paraId="700A89F9" w14:textId="77777777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43B3" w14:textId="77777777" w:rsidR="00C87B14" w:rsidRDefault="00C87B1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E6CA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DF7F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FEC0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F002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31B4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87B14" w14:paraId="31CF2F84" w14:textId="77777777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C87B14" w14:paraId="69CC10BE" w14:textId="77777777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C0F83" w14:textId="77777777" w:rsidR="00C87B14" w:rsidRDefault="00AF634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ДОКУМЕНТ ПОДПИСАН ЭЛЕКТРОННОЙ ПОДПИСЬЮ</w:t>
                  </w:r>
                </w:p>
              </w:tc>
            </w:tr>
            <w:tr w:rsidR="00C87B14" w14:paraId="154A0D37" w14:textId="77777777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C87B14" w14:paraId="15F82BFE" w14:textId="77777777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B4867" w14:textId="77777777" w:rsidR="00C87B14" w:rsidRDefault="00AF634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358BE68DD4F88A3F0FA861DDF55B213E3336DF6C</w:t>
                        </w:r>
                      </w:p>
                      <w:p w14:paraId="4A05692A" w14:textId="77777777" w:rsidR="00C87B14" w:rsidRDefault="00AF634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Морозова Мариана Витальевна</w:t>
                        </w:r>
                      </w:p>
                      <w:p w14:paraId="4CA0509D" w14:textId="77777777" w:rsidR="00C87B14" w:rsidRDefault="00AF634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29.12.2020 по 29.03.2022</w:t>
                        </w:r>
                      </w:p>
                      <w:p w14:paraId="3D418781" w14:textId="77777777" w:rsidR="00C87B14" w:rsidRDefault="00AF634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CBC77BA" w14:textId="77777777" w:rsidR="00C87B14" w:rsidRDefault="00C87B14">
                  <w:pPr>
                    <w:spacing w:line="1" w:lineRule="auto"/>
                  </w:pPr>
                </w:p>
              </w:tc>
            </w:tr>
          </w:tbl>
          <w:p w14:paraId="54E9A729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A1DE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4908D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2EF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86FB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C87B14" w14:paraId="1C2C558D" w14:textId="77777777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96BE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F546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812E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9A33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8439" w14:textId="77777777" w:rsidR="00C87B14" w:rsidRDefault="00AF634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C87B14" w14:paraId="5DF50088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C9B4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E32B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CE4D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261A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B43F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B7F1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7756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EF77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7E2D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44EF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74B2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8B68" w14:textId="77777777" w:rsidR="00C87B14" w:rsidRDefault="00C87B1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FE35" w14:textId="77777777" w:rsidR="00C87B14" w:rsidRDefault="00C87B14">
            <w:pPr>
              <w:spacing w:line="1" w:lineRule="auto"/>
              <w:jc w:val="center"/>
            </w:pPr>
          </w:p>
        </w:tc>
      </w:tr>
      <w:tr w:rsidR="00C87B14" w14:paraId="30ACA103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253F9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C46E2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81441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DFEBF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A60E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1132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58827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5039B" w14:textId="77777777" w:rsidR="00C87B14" w:rsidRDefault="00C87B1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1712" w14:textId="77777777" w:rsidR="00C87B14" w:rsidRDefault="00AF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48531-41446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9C524" w14:textId="77777777" w:rsidR="00C87B14" w:rsidRDefault="00C87B14">
            <w:pPr>
              <w:spacing w:line="1" w:lineRule="auto"/>
            </w:pPr>
          </w:p>
        </w:tc>
      </w:tr>
      <w:tr w:rsidR="00C87B14" w14:paraId="2C7D48B5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9CD00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A5BD5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1C443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F590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36A22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B6582" w14:textId="77777777" w:rsidR="00C87B14" w:rsidRDefault="00C87B1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1E6D2" w14:textId="77777777" w:rsidR="00C87B14" w:rsidRDefault="00AF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0E1C8" w14:textId="77777777" w:rsidR="00C87B14" w:rsidRDefault="00C87B1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60D1" w14:textId="77777777" w:rsidR="00C87B14" w:rsidRDefault="00AF63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8FD60" w14:textId="77777777" w:rsidR="00C87B14" w:rsidRDefault="00C87B14">
            <w:pPr>
              <w:spacing w:line="1" w:lineRule="auto"/>
            </w:pPr>
          </w:p>
        </w:tc>
      </w:tr>
      <w:tr w:rsidR="00C87B14" w14:paraId="250E3BD4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C87B14" w14:paraId="09F12F3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B12E8" w14:textId="77777777" w:rsidR="00C87B14" w:rsidRDefault="00AF6341">
                  <w:r>
                    <w:rPr>
                      <w:color w:val="000000"/>
                    </w:rPr>
                    <w:t>29 января 2021 г.</w:t>
                  </w:r>
                </w:p>
              </w:tc>
            </w:tr>
          </w:tbl>
          <w:p w14:paraId="04AE12A7" w14:textId="77777777" w:rsidR="00C87B14" w:rsidRDefault="00C87B14">
            <w:pPr>
              <w:spacing w:line="1" w:lineRule="auto"/>
            </w:pPr>
          </w:p>
        </w:tc>
      </w:tr>
    </w:tbl>
    <w:p w14:paraId="2E19FF78" w14:textId="77777777" w:rsidR="00C87B14" w:rsidRDefault="00C87B14">
      <w:pPr>
        <w:sectPr w:rsidR="00C87B14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366A7510" w14:textId="77777777" w:rsidR="00C87B14" w:rsidRDefault="00C87B14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C87B14" w14:paraId="4DC771F2" w14:textId="77777777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B1D1" w14:textId="77777777" w:rsidR="00C87B14" w:rsidRDefault="00AF63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C87B14" w14:paraId="7054A3A6" w14:textId="77777777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34A4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6EB6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3520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F3E0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BDC1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65BD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C838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EDE6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7D94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5542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8B30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6B7B" w14:textId="77777777" w:rsidR="00C87B14" w:rsidRDefault="00C87B14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2C9E" w14:textId="77777777" w:rsidR="00C87B14" w:rsidRDefault="00C87B14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888E" w14:textId="77777777" w:rsidR="00C87B14" w:rsidRDefault="00AF63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14:paraId="7A16FF14" w14:textId="77777777" w:rsidR="00C87B14" w:rsidRDefault="00C87B14">
      <w:pPr>
        <w:rPr>
          <w:vanish/>
        </w:rPr>
      </w:pPr>
      <w:bookmarkStart w:id="4" w:name="__bookmark_9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C87B14" w14:paraId="2E102481" w14:textId="77777777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9222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0388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68CC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45A1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C87B14" w14:paraId="5E78C9B4" w14:textId="77777777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3BCF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50F6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C243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676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7B14" w14:paraId="59194AD4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DA40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BD9D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0D3F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023B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приобретения бланков</w:t>
            </w:r>
          </w:p>
        </w:tc>
      </w:tr>
      <w:tr w:rsidR="00C87B14" w14:paraId="3F4B6231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861A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5A2D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5C2C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C625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</w:tr>
      <w:tr w:rsidR="00C87B14" w14:paraId="7EF09FC7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C93E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2863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4823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4F51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ожидаемого срока получения экономических выгод или полезного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потенциала,заключенных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активе,признаваемом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объектом основных средств</w:t>
            </w:r>
          </w:p>
        </w:tc>
      </w:tr>
      <w:tr w:rsidR="00C87B14" w14:paraId="72D69EF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8ED3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2678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A022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 амортизации</w:t>
            </w:r>
            <w:r>
              <w:rPr>
                <w:color w:val="000000"/>
                <w:sz w:val="28"/>
                <w:szCs w:val="28"/>
              </w:rPr>
              <w:br/>
              <w:t>Методы учета суммы амортизации при переоценке объекта основных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30B0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  <w:r>
              <w:rPr>
                <w:color w:val="000000"/>
                <w:sz w:val="28"/>
                <w:szCs w:val="28"/>
              </w:rPr>
              <w:br/>
              <w:t xml:space="preserve">Пересчет накопленной амортизации пропорционально изменению первоначальной стоимости объекта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средств таким образом, чтобы его остаточ</w:t>
            </w:r>
            <w:r>
              <w:rPr>
                <w:color w:val="000000"/>
                <w:sz w:val="28"/>
                <w:szCs w:val="28"/>
              </w:rPr>
              <w:t>ная стоимость после переоценки равнялась его переоцененной стоимости</w:t>
            </w:r>
          </w:p>
        </w:tc>
      </w:tr>
      <w:tr w:rsidR="00C87B14" w14:paraId="0C1A5B1F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1B97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3505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A708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A9D0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</w:tr>
      <w:tr w:rsidR="00C87B14" w14:paraId="3F78C972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5D78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Затраты на изготовление готовой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продукции,выполнение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работ,услуг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C10C" w14:textId="77777777" w:rsidR="00C87B14" w:rsidRDefault="00AF6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DE40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</w:t>
            </w:r>
            <w:r>
              <w:rPr>
                <w:color w:val="000000"/>
                <w:sz w:val="28"/>
                <w:szCs w:val="28"/>
              </w:rPr>
              <w:t>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FE84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оплате труда</w:t>
            </w:r>
          </w:p>
        </w:tc>
      </w:tr>
      <w:tr w:rsidR="00C87B14" w14:paraId="499F822C" w14:textId="77777777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FCCD" w14:textId="77777777" w:rsidR="00C87B14" w:rsidRDefault="00AF6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FB8B" w14:textId="77777777" w:rsidR="00C87B14" w:rsidRDefault="00C87B14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8F0BD" w14:textId="77777777" w:rsidR="00C87B14" w:rsidRDefault="00C87B1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7C6B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F514" w14:textId="77777777" w:rsidR="00C87B14" w:rsidRDefault="00C87B14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BE2CD" w14:textId="77777777" w:rsidR="00C87B14" w:rsidRDefault="00C87B1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808D" w14:textId="77777777" w:rsidR="00C87B14" w:rsidRDefault="00C87B14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89643" w14:textId="77777777" w:rsidR="00C87B14" w:rsidRDefault="00C87B14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9578A" w14:textId="77777777" w:rsidR="00C87B14" w:rsidRDefault="00C87B1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22C0" w14:textId="77777777" w:rsidR="00C87B14" w:rsidRDefault="00C87B1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1DC84" w14:textId="77777777" w:rsidR="00C87B14" w:rsidRDefault="00C87B14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99B4" w14:textId="77777777" w:rsidR="00C87B14" w:rsidRDefault="00C87B14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681DA" w14:textId="77777777" w:rsidR="00C87B14" w:rsidRDefault="00C87B14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084E0" w14:textId="77777777" w:rsidR="00C87B14" w:rsidRDefault="00C87B1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68CE" w14:textId="77777777" w:rsidR="00C87B14" w:rsidRDefault="00C87B14">
            <w:pPr>
              <w:spacing w:line="1" w:lineRule="auto"/>
            </w:pPr>
          </w:p>
        </w:tc>
      </w:tr>
    </w:tbl>
    <w:p w14:paraId="0751BBF0" w14:textId="77777777" w:rsidR="00AF6341" w:rsidRDefault="00AF6341"/>
    <w:sectPr w:rsidR="00AF6341" w:rsidSect="00C87B14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7FF5" w14:textId="77777777" w:rsidR="00AF6341" w:rsidRDefault="00AF6341" w:rsidP="00C87B14">
      <w:r>
        <w:separator/>
      </w:r>
    </w:p>
  </w:endnote>
  <w:endnote w:type="continuationSeparator" w:id="0">
    <w:p w14:paraId="7EDB8E0C" w14:textId="77777777" w:rsidR="00AF6341" w:rsidRDefault="00AF6341" w:rsidP="00C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7B14" w14:paraId="5BFFE3AE" w14:textId="77777777">
      <w:tc>
        <w:tcPr>
          <w:tcW w:w="10421" w:type="dxa"/>
        </w:tcPr>
        <w:p w14:paraId="70287AE7" w14:textId="77777777" w:rsidR="00C87B14" w:rsidRDefault="00C87B1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7B14" w14:paraId="466850F9" w14:textId="77777777">
      <w:tc>
        <w:tcPr>
          <w:tcW w:w="10421" w:type="dxa"/>
        </w:tcPr>
        <w:p w14:paraId="2979F2E7" w14:textId="77777777" w:rsidR="00C87B14" w:rsidRDefault="00C87B1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89AB" w14:textId="77777777" w:rsidR="00AF6341" w:rsidRDefault="00AF6341" w:rsidP="00C87B14">
      <w:r>
        <w:separator/>
      </w:r>
    </w:p>
  </w:footnote>
  <w:footnote w:type="continuationSeparator" w:id="0">
    <w:p w14:paraId="573D7638" w14:textId="77777777" w:rsidR="00AF6341" w:rsidRDefault="00AF6341" w:rsidP="00C8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7B14" w14:paraId="29A3CDB4" w14:textId="77777777">
      <w:tc>
        <w:tcPr>
          <w:tcW w:w="10421" w:type="dxa"/>
        </w:tcPr>
        <w:p w14:paraId="17EE3CEB" w14:textId="77777777" w:rsidR="00C87B14" w:rsidRDefault="00C87B1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7B14" w14:paraId="3E1C8C71" w14:textId="77777777">
      <w:tc>
        <w:tcPr>
          <w:tcW w:w="10421" w:type="dxa"/>
        </w:tcPr>
        <w:p w14:paraId="468A2E3C" w14:textId="77777777" w:rsidR="00C87B14" w:rsidRDefault="00C87B1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14"/>
    <w:rsid w:val="00AF6341"/>
    <w:rsid w:val="00C87B14"/>
    <w:rsid w:val="00D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96E"/>
  <w15:docId w15:val="{2BC1AA5D-CDAE-4A54-960E-703ADA0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8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23401</Characters>
  <Application>Microsoft Office Word</Application>
  <DocSecurity>0</DocSecurity>
  <Lines>195</Lines>
  <Paragraphs>54</Paragraphs>
  <ScaleCrop>false</ScaleCrop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2021-04-19T12:56:00Z</dcterms:created>
  <dcterms:modified xsi:type="dcterms:W3CDTF">2021-04-19T12:56:00Z</dcterms:modified>
</cp:coreProperties>
</file>